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32" w:rsidRDefault="00926232" w:rsidP="00926232">
      <w:pPr>
        <w:pStyle w:val="NormalnyWeb"/>
        <w:shd w:val="clear" w:color="auto" w:fill="E7E6E6" w:themeFill="background2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ZARZĄDZANIE W OCHRONIE ZDROWIA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</w:p>
    <w:p w:rsidR="00926232" w:rsidRP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Liczba godzin:</w:t>
      </w:r>
      <w:r>
        <w:rPr>
          <w:rFonts w:ascii="Tahoma" w:hAnsi="Tahoma" w:cs="Tahoma"/>
          <w:color w:val="000000"/>
          <w:sz w:val="20"/>
          <w:szCs w:val="20"/>
        </w:rPr>
        <w:t> 200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color w:val="000000"/>
          <w:sz w:val="20"/>
          <w:szCs w:val="20"/>
        </w:rPr>
        <w:t>Czas trwania studiów:</w:t>
      </w:r>
      <w:r>
        <w:rPr>
          <w:rFonts w:ascii="Tahoma" w:hAnsi="Tahoma" w:cs="Tahoma"/>
          <w:color w:val="000000"/>
          <w:sz w:val="20"/>
          <w:szCs w:val="20"/>
        </w:rPr>
        <w:t> 2 semestry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Cel studiów:</w:t>
      </w:r>
      <w:r>
        <w:rPr>
          <w:rFonts w:ascii="Tahoma" w:hAnsi="Tahoma" w:cs="Tahoma"/>
          <w:color w:val="000000"/>
          <w:sz w:val="20"/>
          <w:szCs w:val="20"/>
        </w:rPr>
        <w:br/>
        <w:t>Celem studiów podyplomowych jest przygotowanie obecnej i przyszłej kadry menedżerskiej do efektywnego zarządzania podmiotami funkcjonującymi w ochronie zdrowia. Skutecznie kierować nimi mogą jedynie menedżerowie posiadający wiedzę, umiejętności i kompetencje w zakresie m.in. funkcjonowania jednostek ochrony zdrowia, ich restrukturyzacji i przekształcania, wdrażania systemów jakości, zarządzania ryzykiem, zarządzania personelem, a także analizowania i prawidłowego odczytywania potrzeb rynku, które ulegają ciągłym zmianom wewnętrznym i zewnętrznym.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Ważnym atutem studiów jest prowadzenie zajęć przez wieloletnich praktyków w zakresie prawa, zarządzania jakością i ryzykiem, zarządzania personelem w ochronie zdrowia. Część kadry dydaktycznej posiada również dorobem naukowy w obszarach medycznych i nauk o zdrowiu czy prawnych z ukierunkowaniem na zagadnienia legislacyjne w ochronie zdrowia.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Uzyskiwane uprawnienia:</w:t>
      </w:r>
      <w:r>
        <w:rPr>
          <w:rFonts w:ascii="Tahoma" w:hAnsi="Tahoma" w:cs="Tahoma"/>
          <w:color w:val="000000"/>
          <w:sz w:val="20"/>
          <w:szCs w:val="20"/>
        </w:rPr>
        <w:br/>
        <w:t>Słuchacz uzyskuje niezbędną wiedzę, umiejętności, kompetencje  i kwalifikacje do pełnienia funkcji kierowniczych w jednostkach ochrony zdrowia.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color w:val="000000"/>
          <w:sz w:val="20"/>
          <w:szCs w:val="20"/>
        </w:rPr>
        <w:t>Adresaci studiów:</w:t>
      </w:r>
      <w:r>
        <w:rPr>
          <w:rFonts w:ascii="Tahoma" w:hAnsi="Tahoma" w:cs="Tahoma"/>
          <w:color w:val="000000"/>
          <w:sz w:val="20"/>
          <w:szCs w:val="20"/>
        </w:rPr>
        <w:br/>
        <w:t>Studia skierowane są do osób, przygotowujących się do sprawowania lub pełniących funkcje kierownicze w publicznych i niepublicznych podmiotach opieki zdrowotnej, instytucjach związanych ze zdrowiem publicznym, ubezpieczeniami zdrowotnymi, oraz wszystkich zainteresowanych, dla których ważnym elementem pracy zawodowej jest posiadanie kompetencji w zakresie organizacji i zarządzania ochronie zdrowia.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Ramowy program studiów:</w:t>
      </w:r>
      <w:r>
        <w:rPr>
          <w:rFonts w:ascii="Tahoma" w:hAnsi="Tahoma" w:cs="Tahoma"/>
          <w:color w:val="000000"/>
          <w:sz w:val="20"/>
          <w:szCs w:val="20"/>
        </w:rPr>
        <w:br/>
        <w:t>W trakcie realizacji 2-semestralnych studiów  Słuchacze uczestniczą w zajęciach o charakterze warsztatowym na podbudowie teorii przekazywanej w procesie kształcenia.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Etyka w jednostkach ochrony zdrowia</w:t>
      </w:r>
      <w:r>
        <w:rPr>
          <w:rFonts w:ascii="Tahoma" w:hAnsi="Tahoma" w:cs="Tahoma"/>
          <w:color w:val="000000"/>
          <w:sz w:val="20"/>
          <w:szCs w:val="20"/>
        </w:rPr>
        <w:br/>
        <w:t>Prawo medyczne w ochronie zdrowia</w:t>
      </w:r>
      <w:r>
        <w:rPr>
          <w:rFonts w:ascii="Tahoma" w:hAnsi="Tahoma" w:cs="Tahoma"/>
          <w:color w:val="000000"/>
          <w:sz w:val="20"/>
          <w:szCs w:val="20"/>
        </w:rPr>
        <w:br/>
        <w:t>Podstawy zarządzania w usługach medycznych</w:t>
      </w:r>
      <w:r>
        <w:rPr>
          <w:rFonts w:ascii="Tahoma" w:hAnsi="Tahoma" w:cs="Tahoma"/>
          <w:color w:val="000000"/>
          <w:sz w:val="20"/>
          <w:szCs w:val="20"/>
        </w:rPr>
        <w:br/>
        <w:t>Jakość i ryzyko w usługach medycznych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Wymagania NFZ i Ministerstwa Zdrowia</w:t>
      </w:r>
      <w:r>
        <w:rPr>
          <w:rFonts w:ascii="Tahoma" w:hAnsi="Tahoma" w:cs="Tahoma"/>
          <w:color w:val="000000"/>
          <w:sz w:val="20"/>
          <w:szCs w:val="20"/>
        </w:rPr>
        <w:br/>
        <w:t>Wymagania norm ISO (9001, 14001)</w:t>
      </w:r>
      <w:r>
        <w:rPr>
          <w:rFonts w:ascii="Tahoma" w:hAnsi="Tahoma" w:cs="Tahoma"/>
          <w:color w:val="000000"/>
          <w:sz w:val="20"/>
          <w:szCs w:val="20"/>
        </w:rPr>
        <w:br/>
        <w:t>Akredytacja CMJ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Zarządzanie ryzykiem w usługach medycznych - metody identyfikacji i szacowania ryzyka</w:t>
      </w:r>
      <w:r>
        <w:rPr>
          <w:rFonts w:ascii="Tahoma" w:hAnsi="Tahoma" w:cs="Tahoma"/>
          <w:color w:val="000000"/>
          <w:sz w:val="20"/>
          <w:szCs w:val="20"/>
        </w:rPr>
        <w:br/>
        <w:t>Doskonalenie jakości - metody, zasady i narzędzia</w:t>
      </w:r>
      <w:r>
        <w:rPr>
          <w:rFonts w:ascii="Tahoma" w:hAnsi="Tahoma" w:cs="Tahoma"/>
          <w:color w:val="000000"/>
          <w:sz w:val="20"/>
          <w:szCs w:val="20"/>
        </w:rPr>
        <w:br/>
        <w:t>Lean management – zasady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Zarządzanie jakością i ryzykiem w usługach medycznych -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case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study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  <w:t>Rachunkowość i controlling w ochronie zdrowia</w:t>
      </w:r>
      <w:r>
        <w:rPr>
          <w:rFonts w:ascii="Tahoma" w:hAnsi="Tahoma" w:cs="Tahoma"/>
          <w:color w:val="000000"/>
          <w:sz w:val="20"/>
          <w:szCs w:val="20"/>
        </w:rPr>
        <w:br/>
        <w:t>Zarządzanie zasobami ludzkimi</w:t>
      </w:r>
      <w:r>
        <w:rPr>
          <w:rFonts w:ascii="Tahoma" w:hAnsi="Tahoma" w:cs="Tahoma"/>
          <w:color w:val="000000"/>
          <w:sz w:val="20"/>
          <w:szCs w:val="20"/>
        </w:rPr>
        <w:br/>
        <w:t>Marketing usług medycznych</w:t>
      </w:r>
      <w:r>
        <w:rPr>
          <w:rFonts w:ascii="Tahoma" w:hAnsi="Tahoma" w:cs="Tahoma"/>
          <w:color w:val="000000"/>
          <w:sz w:val="20"/>
          <w:szCs w:val="20"/>
        </w:rPr>
        <w:br/>
        <w:t>PR usług medycznych</w:t>
      </w:r>
      <w:r>
        <w:rPr>
          <w:rFonts w:ascii="Tahoma" w:hAnsi="Tahoma" w:cs="Tahoma"/>
          <w:color w:val="000000"/>
          <w:sz w:val="20"/>
          <w:szCs w:val="20"/>
        </w:rPr>
        <w:br/>
        <w:t>Strategie kontraktowania</w:t>
      </w:r>
      <w:r>
        <w:rPr>
          <w:rFonts w:ascii="Tahoma" w:hAnsi="Tahoma" w:cs="Tahoma"/>
          <w:color w:val="000000"/>
          <w:sz w:val="20"/>
          <w:szCs w:val="20"/>
        </w:rPr>
        <w:br/>
        <w:t>Kontrole podmiotów leczniczych</w:t>
      </w:r>
      <w:r>
        <w:rPr>
          <w:rFonts w:ascii="Tahoma" w:hAnsi="Tahoma" w:cs="Tahoma"/>
          <w:color w:val="000000"/>
          <w:sz w:val="20"/>
          <w:szCs w:val="20"/>
        </w:rPr>
        <w:br/>
        <w:t>Profilaktyka i promocja zdrowia</w:t>
      </w:r>
      <w:r>
        <w:rPr>
          <w:rFonts w:ascii="Tahoma" w:hAnsi="Tahoma" w:cs="Tahoma"/>
          <w:color w:val="000000"/>
          <w:sz w:val="20"/>
          <w:szCs w:val="20"/>
        </w:rPr>
        <w:br/>
        <w:t>Fundusze Europejskie w ochronie zdrowia</w:t>
      </w:r>
      <w:r>
        <w:rPr>
          <w:rFonts w:ascii="Tahoma" w:hAnsi="Tahoma" w:cs="Tahoma"/>
          <w:color w:val="000000"/>
          <w:sz w:val="20"/>
          <w:szCs w:val="20"/>
        </w:rPr>
        <w:br/>
        <w:t>Przygotowanie do egzaminu końcowego "Gra w przedsiębiorstwo"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lastRenderedPageBreak/>
        <w:t>Forma zaliczenia:</w:t>
      </w:r>
      <w:r>
        <w:rPr>
          <w:rFonts w:ascii="Tahoma" w:hAnsi="Tahoma" w:cs="Tahoma"/>
          <w:color w:val="000000"/>
          <w:sz w:val="20"/>
          <w:szCs w:val="20"/>
        </w:rPr>
        <w:br/>
        <w:t>GRA W PRZEDSIĘBIORSTWO (wirtualny podmiot opieki zdrowotnej) – nowoczesna forma dydaktyki szkoły wyższej polegająca na rozwiązaniu przez słuchaczy zadania typu „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case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study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”, związanego z funkcjonowaniem podmiotu opieki zdrowotnej z wykorzystaniem narzędzi IT. Uczestnicy gry będą podejmowali szereg decyzji związanych z prowadzeniem wirtualnego podmiotu opieki zdrowotnej, podobnych do tych, które muszą podejmować menedżerowie jednostek opieki zdrowotnej działających w rzeczywistości.</w:t>
      </w:r>
    </w:p>
    <w:p w:rsidR="00926232" w:rsidRDefault="00926232" w:rsidP="0092623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Wyjątkowym walorem tej formy zaliczenia jest realizm sytuacji i konieczność zespołowego podejmowania strategicznych decyzji, które na ostatecznej prezentacji umożliwią komisji egzaminacyjnej ocenić wiedzę i umiejętności z zakresu zarządzania podmiotami leczniczymi zdobytymi podczas nauki na studiach podyplomowych.</w:t>
      </w:r>
    </w:p>
    <w:p w:rsidR="00BC1E9C" w:rsidRDefault="00BC1E9C">
      <w:bookmarkStart w:id="0" w:name="_GoBack"/>
      <w:bookmarkEnd w:id="0"/>
    </w:p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C2"/>
    <w:rsid w:val="00926232"/>
    <w:rsid w:val="00BC1E9C"/>
    <w:rsid w:val="00F4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B5B0A-BDDA-4C15-92B7-F2B81842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6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2023-02-22T11:52:00Z</dcterms:created>
  <dcterms:modified xsi:type="dcterms:W3CDTF">2023-02-22T11:53:00Z</dcterms:modified>
</cp:coreProperties>
</file>